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639usi2px58c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Практическая памятка по возмещению расходов из СФР в 2025 году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Эта памятка поможет </w:t>
      </w:r>
      <w:r w:rsidDel="00000000" w:rsidR="00000000" w:rsidRPr="00000000">
        <w:rPr>
          <w:b w:val="1"/>
          <w:rtl w:val="0"/>
        </w:rPr>
        <w:t xml:space="preserve">специалистам по охране труда и бухгалтерии</w:t>
      </w:r>
      <w:r w:rsidDel="00000000" w:rsidR="00000000" w:rsidRPr="00000000">
        <w:rPr>
          <w:rtl w:val="0"/>
        </w:rPr>
        <w:t xml:space="preserve"> правильно оформить документы для возмещения расходов из Социального фонда России (СФР), избежать ошибок и получить средства вовремя.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Перед началом процедуры важно </w:t>
      </w:r>
      <w:r w:rsidDel="00000000" w:rsidR="00000000" w:rsidRPr="00000000">
        <w:rPr>
          <w:b w:val="1"/>
          <w:rtl w:val="0"/>
        </w:rPr>
        <w:t xml:space="preserve">уточнить сумму возмещения.</w:t>
      </w:r>
      <w:r w:rsidDel="00000000" w:rsidR="00000000" w:rsidRPr="00000000">
        <w:rPr>
          <w:rtl w:val="0"/>
        </w:rPr>
        <w:t xml:space="preserve"> Максимально можно </w:t>
      </w:r>
      <w:r w:rsidDel="00000000" w:rsidR="00000000" w:rsidRPr="00000000">
        <w:rPr>
          <w:b w:val="1"/>
          <w:rtl w:val="0"/>
        </w:rPr>
        <w:t xml:space="preserve">вернуть 20%</w:t>
      </w:r>
      <w:r w:rsidDel="00000000" w:rsidR="00000000" w:rsidRPr="00000000">
        <w:rPr>
          <w:rtl w:val="0"/>
        </w:rPr>
        <w:t xml:space="preserve"> от суммы страховых взносов «на травматизм», уплаченных за прошлый год. Если организация направляет средства на санаторно-курортное лечение работников предпенсионного возраста, лимит </w:t>
      </w:r>
      <w:r w:rsidDel="00000000" w:rsidR="00000000" w:rsidRPr="00000000">
        <w:rPr>
          <w:b w:val="1"/>
          <w:rtl w:val="0"/>
        </w:rPr>
        <w:t xml:space="preserve">повышается до 30%</w:t>
      </w:r>
      <w:r w:rsidDel="00000000" w:rsidR="00000000" w:rsidRPr="00000000">
        <w:rPr>
          <w:rtl w:val="0"/>
        </w:rPr>
        <w:t xml:space="preserve">. Для точного расчета следует свериться с бухгалтерией и </w:t>
      </w:r>
      <w:r w:rsidDel="00000000" w:rsidR="00000000" w:rsidRPr="00000000">
        <w:rPr>
          <w:b w:val="1"/>
          <w:rtl w:val="0"/>
        </w:rPr>
        <w:t xml:space="preserve">уточнить официальные данные в территориальном отделении СФР</w:t>
      </w:r>
      <w:r w:rsidDel="00000000" w:rsidR="00000000" w:rsidRPr="00000000">
        <w:rPr>
          <w:rtl w:val="0"/>
        </w:rPr>
        <w:t xml:space="preserve">. Разница между внутренними расчетами организации и данными фонда может быть значительной. После уточнения суммы необходимо просмотреть план мероприятий по охране труда на текущий год и выбрать те мероприятия, которые реально будут проведены и на которые планируется возмещение.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Следующий этап – </w:t>
      </w:r>
      <w:r w:rsidDel="00000000" w:rsidR="00000000" w:rsidRPr="00000000">
        <w:rPr>
          <w:b w:val="1"/>
          <w:rtl w:val="0"/>
        </w:rPr>
        <w:t xml:space="preserve">согласование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плана финансового обеспечения</w:t>
        </w:r>
      </w:hyperlink>
      <w:r w:rsidDel="00000000" w:rsidR="00000000" w:rsidRPr="00000000">
        <w:rPr>
          <w:rtl w:val="0"/>
        </w:rPr>
        <w:t xml:space="preserve"> с представительным органом работников, если такой имеется. Специалист по охране труда действует от имени работодателя по доверенности, в которой прописаны действия по подаче заявления, получению решения, сдаче отчетов и заверению копий документов. На этапе подачи заявления на финансовое обеспечение подтверждающие документы по расходам не требуются, за исключением </w:t>
      </w:r>
      <w:r w:rsidDel="00000000" w:rsidR="00000000" w:rsidRPr="00000000">
        <w:rPr>
          <w:b w:val="1"/>
          <w:rtl w:val="0"/>
        </w:rPr>
        <w:t xml:space="preserve">затрат на оборудование для безопасного ведения горных работ в рамках модернизации</w:t>
      </w:r>
      <w:r w:rsidDel="00000000" w:rsidR="00000000" w:rsidRPr="00000000">
        <w:rPr>
          <w:rtl w:val="0"/>
        </w:rPr>
        <w:t xml:space="preserve">.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Заявление</w:t>
        </w:r>
      </w:hyperlink>
      <w:r w:rsidDel="00000000" w:rsidR="00000000" w:rsidRPr="00000000">
        <w:rPr>
          <w:rtl w:val="0"/>
        </w:rPr>
        <w:t xml:space="preserve"> должно содержать перечень планируемых мероприятий и предполагаемые суммы расходов. Шаблон документов (заявление и план финансового обеспечения) можно скачать ниже, бесплатно.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(форма для скачивания).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Заявление на финансовое обеспечение</w:t>
      </w:r>
      <w:r w:rsidDel="00000000" w:rsidR="00000000" w:rsidRPr="00000000">
        <w:rPr>
          <w:rtl w:val="0"/>
        </w:rPr>
        <w:t xml:space="preserve"> следует подать до первого августа текущего года. При необходимости возможна подача дополнительного заявления до первого сентября текущего года. Документы можно подать лично в отделении СФР, почтой с уведомлением, через МФЦ или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через портал Госуслуг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подачи заявления фонд рассматривает его в течение десяти рабочих дней и выдает приказ, в котором указывается одобренная сумма финансового обеспечения. Без этого приказа возмещение не будет произведено, поэтому следует контролировать получение документа.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получения приказа организация проводит мероприятия за свой счет в пределах одобренной суммы. В этот период необходимо тщательно оформлять документы: договоры с поставщиками, акты выполненных работ, счета и товарные накладные, сертификаты соответствия средств индивидуальной защиты и оборудования. Особое внимание следует уделять сертификатам и номерам записей в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реестре Минпромторга</w:t>
        </w:r>
      </w:hyperlink>
      <w:r w:rsidDel="00000000" w:rsidR="00000000" w:rsidRPr="00000000">
        <w:rPr>
          <w:rtl w:val="0"/>
        </w:rPr>
        <w:t xml:space="preserve"> для СИЗ (по этому критерию следует выбирать поставщиков СИЗ), а также правильному оформлению договоров с подрядчиками.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Заявление на возмещение расходов</w:t>
        </w:r>
      </w:hyperlink>
      <w:r w:rsidDel="00000000" w:rsidR="00000000" w:rsidRPr="00000000">
        <w:rPr>
          <w:rtl w:val="0"/>
        </w:rPr>
        <w:t xml:space="preserve"> подается до пятнадцатого ноября 2025 года. Форма заявления может быть как бумажной, так и электронной. К заявлению прилагаются все документы, подтверждающие расходы: договоры, акты выполненных работ, платежные поручения, накладные, сертификаты и заключения. Желательно </w:t>
      </w:r>
      <w:r w:rsidDel="00000000" w:rsidR="00000000" w:rsidRPr="00000000">
        <w:rPr>
          <w:i w:val="1"/>
          <w:rtl w:val="0"/>
        </w:rPr>
        <w:t xml:space="preserve">заранее собрать полный пакет документов</w:t>
      </w:r>
      <w:r w:rsidDel="00000000" w:rsidR="00000000" w:rsidRPr="00000000">
        <w:rPr>
          <w:rtl w:val="0"/>
        </w:rPr>
        <w:t xml:space="preserve">, чтобы избежать ошибок и необходимости повторной подачи.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Одновременно с заявлением на возмещение подается </w:t>
      </w:r>
      <w:r w:rsidDel="00000000" w:rsidR="00000000" w:rsidRPr="00000000">
        <w:rPr>
          <w:b w:val="1"/>
          <w:rtl w:val="0"/>
        </w:rPr>
        <w:t xml:space="preserve">отчет о расходах</w:t>
      </w:r>
      <w:r w:rsidDel="00000000" w:rsidR="00000000" w:rsidRPr="00000000">
        <w:rPr>
          <w:rtl w:val="0"/>
        </w:rPr>
        <w:t xml:space="preserve">. Форма отчета может различаться в разных территориальных отделениях СФР, поэтому рекомендуется уточнить ее заранее. В отчете указываются плановые и фактические расходы, количество работников, участвовавших в мероприятиях, и подтверждающие документы.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рассмотрения заявления фонд перечисляет средства на расчетный счет организации в течение пятнадцати рабочих дней. Важно проверить реквизиты счета и сохранить копии платежных документов, которые будут приложены к папке «Возмещение из СФР» на случай проверки.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Организация должна быть готова к проверке фонда. Проверка включает сверку предоставленных документов с бухгалтерскими данными и отчетом о проведенных мероприятиях. Все документы, предоставленные в виде сканов или копий, должны быть подтверждены оригиналами. Особое внимание уделяется сертификатам, актам выполненных работ и договорам с подрядчиками.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ehnoprogress.ru/image/catalog/center/oxrana/sout/shablon-zayavleniya-o-vozmeshchenii-rashodov.docx" TargetMode="External"/><Relationship Id="rId9" Type="http://schemas.openxmlformats.org/officeDocument/2006/relationships/hyperlink" Target="https://gisp.gov.ru/pp719v2/pub/res/" TargetMode="External"/><Relationship Id="rId5" Type="http://schemas.openxmlformats.org/officeDocument/2006/relationships/styles" Target="styles.xml"/><Relationship Id="rId6" Type="http://schemas.openxmlformats.org/officeDocument/2006/relationships/hyperlink" Target="https://tehnoprogress.ru/image/catalog/center/oxrana/sout/shablonsh-lana-finansovogo-obespecheniya.docx" TargetMode="External"/><Relationship Id="rId7" Type="http://schemas.openxmlformats.org/officeDocument/2006/relationships/hyperlink" Target="https://tehnoprogress.ru/image/catalog/center/oxrana/sout/shablon-zayavleniya-o-finansovom-obespechenii.docx" TargetMode="External"/><Relationship Id="rId8" Type="http://schemas.openxmlformats.org/officeDocument/2006/relationships/hyperlink" Target="https://www.gosuslugi.ru/newsearch/finansovoe-obespechenie-predupreditelnyh-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